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Cs w:val="28"/>
        </w:rPr>
        <w:t>20</w:t>
      </w:r>
      <w:r>
        <w:rPr>
          <w:rFonts w:eastAsia="Times New Roman" w:cs="Times New Roman" w:ascii="Times New Roman" w:hAnsi="Times New Roman"/>
          <w:bCs/>
          <w:szCs w:val="28"/>
        </w:rPr>
        <w:t>.02.2025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размещения на сайтах администраций и в средствах массовых информации</w:t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color w:val="3D4146"/>
          <w:sz w:val="28"/>
          <w:szCs w:val="28"/>
        </w:rPr>
        <w:t>Росреестр полностью переходит на электронное взаимодействие с юридическими лицами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hanging="0" w:left="0" w:right="0"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С 1 марта 2025 года вступает в силу Федеральный закон от 26.12.2024 № 487-ФЗ «О внесении изменений в отдельные законодательные акты Российской Федерации», который определяет порядок электронного взаимодействия между Росреестром и юридическими лицами. Росреестр разработал </w:t>
      </w:r>
      <w:hyperlink r:id="rId3" w:tgtFrame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>
        <w:r>
          <w:rPr>
            <w:rStyle w:val="Hyperlink"/>
            <w:rFonts w:eastAsia="Times New Roman" w:cs="Times New Roman" w:ascii="Times New Roman" w:hAnsi="Times New Roman"/>
            <w:color w:val="0000EE"/>
            <w:sz w:val="28"/>
            <w:szCs w:val="24"/>
            <w:u w:val="single"/>
          </w:rPr>
          <w:t>методичку</w:t>
        </w:r>
      </w:hyperlink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, которая поможет разобраться во всех нюансах.</w:t>
        <w:br/>
        <w:br/>
        <w:t>Согласно новым правилам, с 1 марта 2025 года юридические лица должны подавать заявления на государственный кадастровый учёт и государственную регистрацию прав с прилагаемыми к ним документами только в электронной форме. Бумажные документы будут возвращаться без рассмотрения.</w:t>
        <w:br/>
        <w:br/>
        <w:t>Исключением являются случаи, когда стороной сделки, подлежащей государственной регистрации, или сделки, на основании которой регистрируется соответствующее право (ограничение или обременение), является физическое лицо (кроме договоров участия в долевом строительстве).</w:t>
        <w:br/>
        <w:br/>
        <w:t>Возможность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садоводческими и огородническими товариществами, гаражными, жилищными и жилищно-строительными кооперативами, товариществами собственников жилья.</w:t>
        <w:br/>
        <w:br/>
        <w:t>Законом также установлено, что юридическое лицо вправе подать документы в регистрирующий орган на бумажном носителе при наличии временной технической невозможности обращения в электронной форме.</w:t>
        <w:br/>
        <w:br/>
      </w:r>
      <w:r>
        <w:rPr>
          <w:rFonts w:eastAsia="Times New Roman" w:cs="Times New Roman" w:ascii="Times New Roman" w:hAnsi="Times New Roman"/>
          <w:b/>
          <w:color w:val="292C2F"/>
          <w:sz w:val="28"/>
          <w:szCs w:val="24"/>
        </w:rPr>
        <w:t>Регистрация договоров участия в долевом строительстве</w:t>
        <w:br/>
        <w:br/>
      </w: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Договоры участия в долевом строительстве предоставляются на государственную регистрацию только в форме электронных документов. Подписанный собственноручными подписями скан-образ бумажного договора не является электронным документом.</w:t>
        <w:br/>
        <w:br/>
        <w:t>Закон также обязал застройщиков после подписания передаточного акта самостоятельно направлять в Росреестр заявления и документы для государственной регистрации права собственности участника долевого строительства исключительно в электронной форме.</w:t>
        <w:br/>
        <w:br/>
        <w:t>Таким образом, электронный формат взаимодействия застройщиков с регистрирующим органом будет обязательным.</w:t>
        <w:br/>
        <w:br/>
        <w:t>После завершения процедуры регистрации застройщик должен передать участнику долевого строительства выписку из Единого государственного реестра недвижимости.</w:t>
        <w:br/>
        <w:br/>
      </w:r>
      <w:r>
        <w:rPr>
          <w:rFonts w:eastAsia="Times New Roman" w:cs="Times New Roman" w:ascii="Times New Roman" w:hAnsi="Times New Roman"/>
          <w:b/>
          <w:color w:val="292C2F"/>
          <w:sz w:val="28"/>
          <w:szCs w:val="24"/>
        </w:rPr>
        <w:t>Способы подачи электронных документов в Росреестр:</w:t>
      </w:r>
    </w:p>
    <w:p>
      <w:pPr>
        <w:pStyle w:val="ListParagraph"/>
        <w:numPr>
          <w:ilvl w:val="0"/>
          <w:numId w:val="1"/>
        </w:numPr>
        <w:spacing w:before="0" w:after="0"/>
        <w:ind w:hanging="360" w:left="709" w:right="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Личный кабинет на официальном сайте Росреестра;</w:t>
      </w:r>
    </w:p>
    <w:p>
      <w:pPr>
        <w:pStyle w:val="ListParagraph"/>
        <w:numPr>
          <w:ilvl w:val="0"/>
          <w:numId w:val="1"/>
        </w:numPr>
        <w:spacing w:before="0" w:after="0"/>
        <w:ind w:hanging="360" w:left="709" w:right="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Сервис прямого доступа (СПД-3);</w:t>
      </w:r>
    </w:p>
    <w:p>
      <w:pPr>
        <w:pStyle w:val="ListParagraph"/>
        <w:numPr>
          <w:ilvl w:val="0"/>
          <w:numId w:val="1"/>
        </w:numPr>
        <w:spacing w:before="0" w:after="0"/>
        <w:ind w:hanging="360" w:left="709" w:right="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Сервис взаимодействия с Росреестром и Адаптер электронного взаимодействия (Адаптер);</w:t>
      </w:r>
    </w:p>
    <w:p>
      <w:pPr>
        <w:pStyle w:val="ListParagraph"/>
        <w:numPr>
          <w:ilvl w:val="0"/>
          <w:numId w:val="1"/>
        </w:numPr>
        <w:spacing w:before="0" w:after="0"/>
        <w:ind w:hanging="360" w:left="709" w:right="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Федеральная государственная информационная система межведомственного электронного взаимодействия (СМЭВ);</w:t>
      </w:r>
    </w:p>
    <w:p>
      <w:pPr>
        <w:pStyle w:val="ListParagraph"/>
        <w:numPr>
          <w:ilvl w:val="0"/>
          <w:numId w:val="1"/>
        </w:numPr>
        <w:spacing w:before="0" w:after="0"/>
        <w:ind w:hanging="360" w:left="709" w:right="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Иные способы, предусмотренные пунктом 2 части 1 статьи 18 Федерального закона от 13.07.2015 № 218-ФЗ «О государственной регистрации недвижимости».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 w:val="false"/>
          <w:bCs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Управление Росреестра по Алтайскому краю</w:t>
      </w:r>
    </w:p>
    <w:p>
      <w:pPr>
        <w:pStyle w:val="Standard"/>
        <w:jc w:val="left"/>
        <w:rPr>
          <w:rFonts w:ascii="Times New Roman" w:hAnsi="Times New Roman" w:eastAsia="Calibri" w:cs="Times New Roman"/>
          <w:b/>
          <w:bCs/>
          <w:color w:val="0000FF"/>
          <w:sz w:val="20"/>
          <w:szCs w:val="28"/>
          <w:highlight w:val="none"/>
          <w:u w:val="single"/>
          <w:shd w:fill="FFFFFF" w:val="clear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FF"/>
          <w:sz w:val="20"/>
          <w:szCs w:val="28"/>
          <w:u w:val="single"/>
          <w:shd w:fill="FFFFFF" w:val="clear"/>
          <w:lang w:eastAsia="en-US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0" w:before="0" w:afterAutospacing="0" w:after="0"/>
      <w:ind w:hanging="0" w:left="0" w:right="0"/>
      <w:jc w:val="center"/>
    </w:pPr>
    <w:rPr>
      <w:rFonts w:ascii="PT Astra Serif" w:hAnsi="PT Astra Serif" w:eastAsia="Source Han Sans CN Regular" w:cs="'PT Astra Serif'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4"/>
      <w:u w:val="none"/>
      <w:vertAlign w:val="baseline"/>
      <w:lang w:val="en-US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gov.ru/upload/Doc/informatsiya/&#1069;&#1083;&#1077;&#1082;&#1090;&#1088;&#1086;&#1085;&#1085;&#1086;&#1077; &#1074;&#1079;&#1072;&#1080;&#1084;&#1086;&#1076;&#1077;&#1081;&#1089;&#1090;&#1074;&#1080;&#1077; &#1056;&#1086;&#1089;&#1088;&#1077;&#1077;&#1089;&#1090;&#1088;&#1072; &#1089; &#1102;&#1088;&#1083;&#1080;&#1094;&#1072;&#1084;&#1080;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LibreOffice/7.6.7.2$Linux_X86_64 LibreOffice_project/60$Build-2</Application>
  <AppVersion>15.0000</AppVersion>
  <Pages>2</Pages>
  <Words>332</Words>
  <Characters>2548</Characters>
  <CharactersWithSpaces>2946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2025-02-19T16:03:47Z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