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Calibri"/>
          <w:b/>
          <w:bCs/>
          <w:szCs w:val="28"/>
        </w:rPr>
        <w:t xml:space="preserve"> 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32"/>
        </w:rPr>
        <w:t>1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5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.07.2025</w:t>
      </w:r>
    </w:p>
    <w:p>
      <w:pPr>
        <w:pStyle w:val="Standard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exact" w:line="317"/>
        <w:ind w:hanging="0" w:left="10" w:right="1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Для размещения в социальных сетях Управления</w:t>
      </w:r>
    </w:p>
    <w:p>
      <w:pPr>
        <w:pStyle w:val="Normal"/>
        <w:shd w:val="clear" w:color="auto" w:fill="FFFFFF"/>
        <w:spacing w:lineRule="exact" w:line="317"/>
        <w:ind w:hanging="0" w:left="10" w:right="10"/>
        <w:jc w:val="left"/>
        <w:rPr>
          <w:rFonts w:eastAsia="Times New Roman"/>
          <w:spacing w:val="-6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</w:r>
    </w:p>
    <w:p>
      <w:pPr>
        <w:pStyle w:val="Normal"/>
        <w:shd w:val="clear" w:color="auto" w:fill="FFFFFF"/>
        <w:spacing w:lineRule="exact" w:line="317"/>
        <w:ind w:hanging="0" w:left="10" w:right="10"/>
        <w:jc w:val="left"/>
        <w:rPr>
          <w:rFonts w:eastAsia="Times New Roman"/>
          <w:b/>
          <w:bCs/>
          <w:sz w:val="28"/>
          <w:szCs w:val="28"/>
          <w:highlight w:val="none"/>
        </w:rPr>
      </w:pPr>
      <w:r>
        <w:rPr>
          <w:rFonts w:eastAsia="Times New Roman"/>
          <w:b/>
          <w:sz w:val="28"/>
          <w:szCs w:val="28"/>
        </w:rPr>
        <w:t>Наиболее характерные основания для приостановления учетно-регистрационных действий</w:t>
      </w:r>
    </w:p>
    <w:p>
      <w:pPr>
        <w:pStyle w:val="Normal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widowControl/>
        <w:pBdr/>
        <w:spacing w:before="0" w:after="0"/>
        <w:ind w:firstLine="708"/>
        <w:contextualSpacing/>
        <w:jc w:val="both"/>
        <w:rPr>
          <w:rFonts w:eastAsia="Times New Roman"/>
          <w:sz w:val="28"/>
          <w:szCs w:val="28"/>
          <w:u w:val="none"/>
          <w14:ligatures w14:val="none"/>
        </w:rPr>
      </w:pPr>
      <w:r>
        <w:rPr>
          <w:rFonts w:eastAsia="Times New Roman"/>
          <w:sz w:val="28"/>
          <w:szCs w:val="28"/>
        </w:rPr>
        <w:t xml:space="preserve">В результате анализа решений о приостановлении учетно-регистрационных действий за первое  полугодие 2025 года установлено, что  </w:t>
      </w:r>
      <w:r>
        <w:rPr>
          <w:rFonts w:eastAsia="Times New Roman" w:cs="Times New Roman"/>
          <w:sz w:val="28"/>
          <w:szCs w:val="28"/>
          <w:lang w:eastAsia="ru-RU"/>
        </w:rPr>
        <w:t>наиболее распространенным основанием для приостановления государственной регистрации  прав и кадастрового учета объектов недвижимости являе</w:t>
      </w:r>
      <w:r>
        <w:rPr>
          <w:rFonts w:eastAsia="Times New Roman"/>
          <w:sz w:val="28"/>
          <w:szCs w:val="28"/>
          <w:lang w:eastAsia="ru-RU"/>
        </w:rPr>
        <w:t>тся</w:t>
      </w:r>
      <w:r>
        <w:rPr>
          <w:rFonts w:eastAsia="Times New Roman"/>
          <w:sz w:val="28"/>
          <w:szCs w:val="28"/>
        </w:rPr>
        <w:t xml:space="preserve">  отсутствие в Едино</w:t>
      </w:r>
      <w:r>
        <w:rPr>
          <w:sz w:val="28"/>
          <w:szCs w:val="28"/>
        </w:rPr>
        <w:t>м государственном реестре недвижимост</w:t>
      </w:r>
      <w:r>
        <w:rPr>
          <w:rFonts w:eastAsia="Times New Roman"/>
          <w:sz w:val="28"/>
          <w:szCs w:val="28"/>
        </w:rPr>
        <w:t xml:space="preserve">и (далее – ЕГРН) сведений о местоположении границ земельного участка. Данное обстоятельство  </w:t>
      </w:r>
      <w:r>
        <w:rPr>
          <w:rFonts w:eastAsia="Times New Roman" w:cs="Times New Roman"/>
          <w:color w:themeColor="text1" w:val="000000"/>
          <w:sz w:val="28"/>
          <w:szCs w:val="28"/>
          <w:u w:val="none"/>
        </w:rPr>
        <w:t xml:space="preserve">является препятствием для осуществления государственного кадастрового учета и (или) государственной регистрации прав в отношении объектов недвижимости (земельных участков, являющихся предметом договора, на основании которого осуществляется регистрация прав, ограничение прав, обременение земельного участка, и всех объектов капитального строительства, расположенных на земельных участках без границ). </w:t>
      </w:r>
    </w:p>
    <w:p>
      <w:pPr>
        <w:pStyle w:val="Normal"/>
        <w:widowControl/>
        <w:pBdr/>
        <w:spacing w:before="0" w:after="0"/>
        <w:ind w:firstLine="708"/>
        <w:contextualSpacing/>
        <w:jc w:val="both"/>
        <w:rPr>
          <w:rFonts w:eastAsia="Times New Roman"/>
          <w:sz w:val="28"/>
          <w:szCs w:val="28"/>
          <w14:ligatures w14:val="none"/>
        </w:rPr>
      </w:pPr>
      <w:r>
        <w:rPr>
          <w:rFonts w:eastAsia="Times New Roman"/>
          <w:sz w:val="28"/>
          <w:szCs w:val="28"/>
        </w:rPr>
        <w:t>Напоминаем, с 01 марта 2025 года для осуществления государственной регистрации перехода права собственности на земельный участок, объект капитального строительства (по договору дарения, купли-продажи, мены, иных гражданско-правовых договоров),  государственной регистрации сделки в виде аренды, обременения в виде ипотеки,  в случае постановки на государственный кадастровый учет зданий, сооружений, объектов незавершенного строительства,                 а также государственного кадастрового учета изменений в отношении таких объектов недвижимости, собственникам  необходимо убедиться, что границы земельного участка установлены в соответствии с требованиями действующего законодательства.</w:t>
      </w:r>
    </w:p>
    <w:p>
      <w:pPr>
        <w:pStyle w:val="Normal"/>
        <w:widowControl/>
        <w:pBdr/>
        <w:spacing w:before="0" w:after="0"/>
        <w:ind w:firstLine="708"/>
        <w:contextualSpacing/>
        <w:jc w:val="both"/>
        <w:rPr>
          <w:sz w:val="28"/>
          <w:szCs w:val="28"/>
          <w14:ligatures w14:val="none"/>
        </w:rPr>
      </w:pPr>
      <w:r>
        <w:rPr>
          <w:bCs/>
          <w:sz w:val="28"/>
          <w:szCs w:val="28"/>
        </w:rPr>
        <w:t xml:space="preserve">Владелец недвижимости до подачи документов на государственную регистрацию может узнать сведения о местоположении границ земельного участка  с помощью сервиса Росреестра «Публичная кадастровая карта», который размещен на главной странице сайта ведомства. 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В случае, если  местоположение границ земельного участка отсутствуют                    в ЕГРН, собственнику земельного участка необходимо обратиться к кадастровому инженеру для   установления границ земельного участка и  подготовки межевого плана. В дальнейшем обратиться в орган регистрации прав для  внесения соответствующих сведений в ЕГРН.</w:t>
      </w:r>
    </w:p>
    <w:p>
      <w:pPr>
        <w:pStyle w:val="Normal"/>
        <w:widowControl/>
        <w:pBdr/>
        <w:spacing w:before="0" w:after="0"/>
        <w:ind w:firstLine="708"/>
        <w:contextualSpacing/>
        <w:jc w:val="both"/>
        <w:rPr>
          <w:sz w:val="28"/>
          <w:szCs w:val="28"/>
          <w14:ligatures w14:val="none"/>
        </w:rPr>
      </w:pPr>
      <w:r>
        <w:rPr>
          <w:rFonts w:eastAsia="Times New Roman"/>
          <w:sz w:val="28"/>
          <w:szCs w:val="28"/>
        </w:rPr>
        <w:t xml:space="preserve">Кроме того,  в первом полугодии текущего года </w:t>
      </w:r>
      <w:r>
        <w:rPr>
          <w:rFonts w:eastAsia="Times New Roman"/>
          <w:sz w:val="28"/>
          <w:szCs w:val="28"/>
        </w:rPr>
        <w:t>государственная регистрация прав приостанавливалась в связи с представлением   гражда</w:t>
      </w:r>
      <w:r>
        <w:rPr>
          <w:sz w:val="28"/>
          <w:szCs w:val="28"/>
        </w:rPr>
        <w:t xml:space="preserve">нами в орган регистрации прав  договоров дарения объектов недвижимого имущества                    в простой письменной   форме. </w:t>
      </w:r>
    </w:p>
    <w:p>
      <w:pPr>
        <w:pStyle w:val="Normal"/>
        <w:widowControl/>
        <w:pBdr/>
        <w:spacing w:before="0" w:after="0"/>
        <w:ind w:firstLine="708"/>
        <w:contextualSpacing/>
        <w:jc w:val="both"/>
        <w:rPr>
          <w:sz w:val="24"/>
          <w:szCs w:val="24"/>
          <w:highlight w:val="none"/>
          <w14:ligatures w14:val="none"/>
        </w:rPr>
      </w:pPr>
      <w:r>
        <w:rPr>
          <w:sz w:val="28"/>
          <w:szCs w:val="28"/>
        </w:rPr>
        <w:t>Обращаем внимание,  в соответствии с действующей с 13 января 2025 года  редакцией пункта 3 статьи 574 Гражданского кодекса Российской Федерации договор дарения недвижимого имущества, заключенный между гражданами, подлежит нотариальному удостоверению.</w:t>
      </w:r>
    </w:p>
    <w:p>
      <w:pPr>
        <w:pStyle w:val="Normal"/>
        <w:widowControl/>
        <w:pBdr/>
        <w:spacing w:before="0" w:after="0"/>
        <w:ind w:hanging="0"/>
        <w:contextualSpacing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</w:r>
    </w:p>
    <w:p>
      <w:pPr>
        <w:pStyle w:val="Normal"/>
        <w:widowControl/>
        <w:pBdr/>
        <w:spacing w:before="0" w:after="0"/>
        <w:ind w:hanging="0"/>
        <w:contextualSpacing/>
        <w:jc w:val="both"/>
        <w:rPr>
          <w:sz w:val="24"/>
          <w:szCs w:val="24"/>
          <w:highlight w:val="none"/>
          <w14:ligatures w14:val="none"/>
        </w:rPr>
      </w:pPr>
      <w:r>
        <w:rPr/>
        <w:drawing>
          <wp:inline distT="0" distB="0" distL="0" distR="0">
            <wp:extent cx="4334510" cy="433451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433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pBdr/>
        <w:spacing w:before="0" w:after="0"/>
        <w:ind w:hanging="0"/>
        <w:contextualSpacing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/>
          <w:b/>
          <w:sz w:val="22"/>
          <w:szCs w:val="22"/>
          <w:lang w:eastAsia="sk-SK"/>
        </w:rPr>
        <w:t>Управлени</w:t>
      </w:r>
      <w:r>
        <w:rPr>
          <w:rFonts w:eastAsia="Times New Roman" w:cs="Times New Roman"/>
          <w:b/>
          <w:sz w:val="22"/>
          <w:szCs w:val="22"/>
          <w:lang w:eastAsia="sk-SK"/>
        </w:rPr>
        <w:t>е</w:t>
      </w:r>
      <w:r>
        <w:rPr>
          <w:rFonts w:eastAsia="Times New Roman" w:cs="Times New Roman"/>
          <w:b/>
          <w:sz w:val="22"/>
          <w:szCs w:val="22"/>
          <w:lang w:eastAsia="sk-SK"/>
        </w:rPr>
        <w:t xml:space="preserve"> Росреестра по Алтайскому краю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/>
      </w:r>
    </w:p>
    <w:p>
      <w:pPr>
        <w:pStyle w:val="Normal"/>
        <w:widowControl/>
        <w:pBdr/>
        <w:spacing w:before="0" w:after="0"/>
        <w:ind w:firstLine="708"/>
        <w:contextualSpacing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</w:p>
    <w:p>
      <w:pPr>
        <w:pStyle w:val="Normal"/>
        <w:widowControl/>
        <w:pBdr/>
        <w:spacing w:before="0" w:after="0"/>
        <w:ind w:firstLine="708"/>
        <w:contextualSpacing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Arial" w:cs="Times New Roman" w:eastAsiaTheme="minorEastAsia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6" w:customStyle="1">
    <w:name w:val="Текст сноски Знак"/>
    <w:basedOn w:val="DefaultParagraphFont"/>
    <w:uiPriority w:val="99"/>
    <w:semiHidden/>
    <w:qFormat/>
    <w:rPr>
      <w:rFonts w:ascii="Times New Roman" w:hAnsi="Times New Roman" w:eastAsia="Arial" w:cs="Times New Roman" w:eastAsiaTheme="minorEastAsia"/>
      <w:sz w:val="20"/>
      <w:szCs w:val="20"/>
      <w:lang w:eastAsia="ru-RU"/>
    </w:rPr>
  </w:style>
  <w:style w:type="character" w:styleId="Style7">
    <w:name w:val="Символ сноски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single"/>
      <w:lang w:val="ru-RU" w:eastAsia="ru-RU" w:bidi="ru-RU"/>
    </w:rPr>
  </w:style>
  <w:style w:type="character" w:styleId="Style8" w:customStyle="1">
    <w:name w:val="Текст выноски Знак"/>
    <w:basedOn w:val="DefaultParagraphFont"/>
    <w:uiPriority w:val="99"/>
    <w:semiHidden/>
    <w:qFormat/>
    <w:rPr>
      <w:rFonts w:ascii="Tahoma" w:hAnsi="Tahoma" w:eastAsia="Arial" w:cs="Tahoma" w:eastAsiaTheme="minorEastAsia"/>
      <w:sz w:val="16"/>
      <w:szCs w:val="16"/>
      <w:lang w:eastAsia="ru-RU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0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widowControl/>
      <w:spacing w:lineRule="auto" w:line="276" w:before="0" w:after="200"/>
      <w:ind w:left="720"/>
      <w:contextualSpacing/>
    </w:pPr>
    <w:rPr>
      <w:rFonts w:ascii="Calibri" w:hAnsi="Calibri" w:eastAsia="Calibri" w:cs="Arial" w:asciiTheme="minorHAnsi" w:cstheme="minorBidi" w:eastAsia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FootnoteText">
    <w:name w:val="Footnote Text"/>
    <w:basedOn w:val="Normal"/>
    <w:uiPriority w:val="99"/>
    <w:semiHidden/>
    <w:unhideWhenUsed/>
    <w:pPr/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pBdr/>
      <w:shd w:val="nil" w:color="000000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Arial" w:hAnsi="Arial" w:eastAsia="Andale Sans U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2</Pages>
  <Words>311</Words>
  <Characters>2426</Characters>
  <CharactersWithSpaces>2881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2019-12-16T07:34:00Z</dcterms:created>
  <dc:creator>Докукина Людмила Геннадьевна</dc:creator>
  <dc:description/>
  <dc:language>ru-RU</dc:language>
  <cp:lastModifiedBy/>
  <dcterms:modified xsi:type="dcterms:W3CDTF">2025-07-11T10:38:47Z</dcterms:modified>
  <cp:revision>39</cp:revision>
  <dc:subject/>
  <dc:title/>
</cp:coreProperties>
</file>