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val="false"/>
          <w:bCs w:val="false"/>
          <w:sz w:val="28"/>
          <w:szCs w:val="28"/>
          <w:highlight w:val="none"/>
        </w:rPr>
      </w:pPr>
      <w:r>
        <w:rPr>
          <w:rFonts w:eastAsia="Times New Roman" w:cs="Times New Roman" w:ascii="Times New Roman" w:hAnsi="Times New Roman"/>
          <w:b w:val="false"/>
          <w:bCs w:val="false"/>
          <w:sz w:val="28"/>
          <w:szCs w:val="28"/>
        </w:rPr>
        <w:t>И</w:t>
      </w:r>
      <w:r>
        <w:rPr>
          <w:rFonts w:eastAsia="Times New Roman" w:cs="Times New Roman" w:ascii="Times New Roman" w:hAnsi="Times New Roman"/>
          <w:b w:val="false"/>
          <w:bCs w:val="false"/>
          <w:sz w:val="28"/>
          <w:szCs w:val="28"/>
        </w:rPr>
        <w:t>нформация для пресс-конференции</w:t>
      </w:r>
      <w:r>
        <w:rPr>
          <w:rFonts w:eastAsia="Times New Roman" w:cs="Times New Roman" w:ascii="Times New Roman" w:hAnsi="Times New Roman"/>
          <w:b/>
          <w:bCs/>
          <w:sz w:val="28"/>
          <w:szCs w:val="28"/>
        </w:rPr>
        <w:t xml:space="preserve"> </w:t>
      </w:r>
      <w:r>
        <w:rPr>
          <w:rFonts w:eastAsia="Times New Roman" w:cs="Times New Roman" w:ascii="Times New Roman" w:hAnsi="Times New Roman"/>
          <w:b/>
          <w:bCs/>
          <w:color w:val="292C2F"/>
          <w:sz w:val="28"/>
          <w:szCs w:val="28"/>
          <w:lang w:eastAsia="ru-RU"/>
        </w:rPr>
        <w:br/>
        <w:t>«</w:t>
      </w:r>
      <w:r>
        <w:rPr>
          <w:rFonts w:eastAsia="Times New Roman" w:cs="Times New Roman" w:ascii="Times New Roman" w:hAnsi="Times New Roman"/>
          <w:b/>
          <w:bCs/>
          <w:i/>
          <w:iCs/>
          <w:sz w:val="28"/>
          <w:szCs w:val="28"/>
        </w:rPr>
        <w:t>Изменения действующего законодательства, темпы выполнения комплексных кадастровых работ на территории Алтайского края в 2025 году</w:t>
      </w:r>
      <w:r>
        <w:rPr>
          <w:rFonts w:eastAsia="Times New Roman" w:cs="Times New Roman" w:ascii="Times New Roman" w:hAnsi="Times New Roman"/>
          <w:b/>
          <w:bCs/>
          <w:color w:val="292C2F"/>
          <w:sz w:val="28"/>
          <w:szCs w:val="28"/>
          <w:lang w:eastAsia="ru-RU"/>
        </w:rPr>
        <w:t>»</w:t>
      </w:r>
      <w:r>
        <w:rPr>
          <w:rFonts w:eastAsia="Times New Roman" w:cs="Times New Roman" w:ascii="Times New Roman" w:hAnsi="Times New Roman"/>
          <w:b/>
          <w:bCs/>
          <w:sz w:val="28"/>
          <w:szCs w:val="28"/>
        </w:rPr>
        <w:t xml:space="preserve"> </w:t>
        <w:br/>
      </w:r>
      <w:r>
        <w:rPr>
          <w:rFonts w:eastAsia="Times New Roman" w:cs="Times New Roman" w:ascii="Times New Roman" w:hAnsi="Times New Roman"/>
          <w:b w:val="false"/>
          <w:bCs w:val="false"/>
          <w:sz w:val="28"/>
          <w:szCs w:val="28"/>
        </w:rPr>
        <w:t>24 июня 2025 года</w:t>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 xml:space="preserve">1. О необходимости установления границ земельных участков в связи с изменением действующего законодательства.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 01.03.2025 перечень оснований для приостановления государственного кадастрового учета и (или) государственной регистрации прав дополнен двумя новыми, и теперь Росреестр при проведении правовой экспертизы документов проверяет факт наличия в Едином государственном реестре недвижимости сведений об установленных границах земельных участков.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Указанные изменения внесены, чтобы решить проблему бесконечных споров о границах земельных участков, и защитить покупателей, приобретателей, арендаторов, арендодателей и иных правообладателей и пользователей земельных участков от правовой неопределенности и последующих споров в суде.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Теперь государственный регистратор прав обязан в соответствии с требованиями закона принять решение о приостановлении в случае, если в целях государственной регистрации прав, ограничения прав либо обременения земельного участка представлен договор в отношении</w:t>
      </w:r>
      <w:r>
        <w:rPr/>
        <w:t xml:space="preserve"> </w:t>
      </w:r>
      <w:r>
        <w:rPr>
          <w:rFonts w:eastAsia="Times New Roman" w:cs="Times New Roman" w:ascii="Times New Roman" w:hAnsi="Times New Roman"/>
          <w:sz w:val="28"/>
          <w:szCs w:val="28"/>
        </w:rPr>
        <w:t xml:space="preserve">земельного участка без границ, а также в случае, если представлены документы в целях государственного кадастрового учета и (или) государственной регистрации прав в отношении здания, сооружения, объекта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но при этом здание или иной объект расположены на земельном участке без установленных границ.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этой связи до подачи документов в Росреестр нужно убедиться, что границы земельного участка установлены, и сведения о них внесены в ЕГРН. </w:t>
      </w:r>
    </w:p>
    <w:p>
      <w:pPr>
        <w:pStyle w:val="Normal"/>
        <w:spacing w:before="0" w:after="200"/>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 всех случаях за установлением границ земельных участков нужно обращаться к кадастровому инженеру. Указанный специалист проведет межевание и подготовит межевой план. Межевой план является документом-основанием для внесения в ЕГРН сведений о границах земельного участка. Межевой план представляется в орган регистрации прав правообладателем земельного участка с заявлением о государственном кадастровом учете изменений. В случае, если границы земельных участков устанавливаются наследником в целях оформления наследственных прав, к заявлению и межевому плану в качестве документа, подтверждающего право на подачу документов, может быть представлена справка от нотариуса о том, что заявитель действительно является наследником.</w:t>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2. Случаи, когда отсутствие в ЕГРН границ земельного участка не является препятствием для осуществления учетно-регистрационных действий</w:t>
      </w:r>
    </w:p>
    <w:p>
      <w:pPr>
        <w:pStyle w:val="Normal"/>
        <w:spacing w:before="0" w:after="200"/>
        <w:ind w:firstLine="720"/>
        <w:jc w:val="both"/>
        <w:rPr>
          <w:rFonts w:ascii="Times New Roman" w:hAnsi="Times New Roman" w:eastAsia="Times New Roman" w:cs="Times New Roman"/>
          <w:b/>
          <w:bCs/>
          <w:i/>
          <w:i/>
          <w:sz w:val="28"/>
          <w:szCs w:val="28"/>
        </w:rPr>
      </w:pPr>
      <w:r>
        <w:rPr>
          <w:rFonts w:eastAsia="Times New Roman" w:cs="Times New Roman" w:ascii="Times New Roman" w:hAnsi="Times New Roman"/>
          <w:sz w:val="28"/>
          <w:szCs w:val="28"/>
        </w:rPr>
        <w:t>При этом имеются случаи, когда отсутствие в ЕГРН границ земельного участка не является препятствием для осуществления действий, в отношении такого земельного участка (по регистрации договоров или прав на их основании) или расположенного на нем объекта капитального строительства:</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сервитута в отношении земельного участка, сведения о границах которого отсутствуют в ЕГРН;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права собственности на земельную долю в земельном участке сельскохозяйственного назначения;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осуществления государственного кадастрового учета и (или) государственной регистрации прав, в том числе государственной регистрации прав на ранее учтенный объект капитального строительства, если земельный участок, на котором расположен такой объект недвижимости, не стоит на государственном кадастровом учете;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государственного кадастрового учета и (или) государственной регистрации прав в отношении линейного сооружения, в том числе строительство которого не завершено;</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государственного кадастрового учета и государственной регистрации прав в отношении объекта капитального строительства в связи с прекращением его существования;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осуществления государственного кадастрового учета и (или) государственной регистрации прав, осуществляемых в целях оказания мер поддержки лицам, пострадавшим в результате боевых действий и (или) в связи с наступлением чрезвычайной ситуации;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перехода прав вследствие отказа от вещных прав (отказ от права собственности на объект капитального строительства, отказ от вещных прав на земельный участок);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прекращения прав, ограничений (обременений) прав на недвижимое имущество, не связанных с их переходом к иному лицу (например, погашение ипотеки, аренды);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государственного кадастрового учета и государственной регистрации прав на объекты незавершенного строительства, включенные в федеральный или региональный реестры незавершенных объектов капитального строительства;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осуществлении государственной регистрации права собственности на объект капитального строительства на основании решения суда о признании права собственности;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государственной регистрации прав в отношении имущества, которое в соответствии с законодательством находится в государственной, муниципальной собственности до завершения мероприятий по оформлению недвижимого имущества в государственную, муниципальную собственность; </w:t>
      </w:r>
    </w:p>
    <w:p>
      <w:pPr>
        <w:pStyle w:val="ListParagraph"/>
        <w:numPr>
          <w:ilvl w:val="0"/>
          <w:numId w:val="1"/>
        </w:numPr>
        <w:spacing w:before="0" w:after="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 учете изменений сведений о характеристиках бесхозяйных объектов недвижимости; </w:t>
      </w:r>
    </w:p>
    <w:p>
      <w:pPr>
        <w:pStyle w:val="ListParagraph"/>
        <w:numPr>
          <w:ilvl w:val="0"/>
          <w:numId w:val="1"/>
        </w:numPr>
        <w:spacing w:before="0" w:after="20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государственного кадастрового учета и государственной регистрации прав в отношении объектов гражданской обороны по заявлению органов государственной власти, органов местного самоуправления на основании судебных актов.</w:t>
      </w:r>
    </w:p>
    <w:p>
      <w:pPr>
        <w:pStyle w:val="Normal"/>
        <w:spacing w:before="0" w:after="200"/>
        <w:ind w:firstLine="720" w:left="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3. О необходимости установления границ земельного участка при наследовании</w:t>
      </w:r>
    </w:p>
    <w:p>
      <w:pPr>
        <w:pStyle w:val="Normal"/>
        <w:spacing w:before="0" w:after="200"/>
        <w:ind w:firstLine="720" w:lef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Современная жизнь такова, что граждане часто обращаются в Росреестр, в том числе за оформлением прав на земельные участки в порядке наследования. В данной ситуации также важно помнить о необходимости установления границ земельных участков. Решить данный вопрос следует до получения свидетельства о праве на наследство. </w:t>
      </w:r>
    </w:p>
    <w:p>
      <w:pPr>
        <w:pStyle w:val="Normal"/>
        <w:spacing w:before="0" w:after="200"/>
        <w:ind w:firstLine="720" w:left="0"/>
        <w:jc w:val="both"/>
        <w:rPr>
          <w:rFonts w:ascii="Times New Roman" w:hAnsi="Times New Roman" w:eastAsia="Times New Roman" w:cs="Times New Roman"/>
          <w:b w:val="false"/>
          <w:bCs w:val="false"/>
          <w:i w:val="false"/>
          <w:i w:val="false"/>
          <w:sz w:val="28"/>
          <w:szCs w:val="28"/>
          <w:highlight w:val="none"/>
        </w:rPr>
      </w:pPr>
      <w:r>
        <w:rPr>
          <w:rFonts w:eastAsia="Times New Roman" w:cs="Times New Roman" w:ascii="Times New Roman" w:hAnsi="Times New Roman"/>
          <w:sz w:val="28"/>
          <w:szCs w:val="28"/>
        </w:rPr>
        <w:t>При этом, необходимо учитывать, что в соответствии с законодательством, в случае представления в орган регистрации прав заявлений о государственной регистрации права на земельные участки, сведения о местоположении границ которых в ЕГРН отсутствуют, на основании свидетельства о праве на наследство, оснований для приостановления осуществления регистрационных действий не имеется, поскольку в данном случае права возникают не на основании договора</w:t>
      </w:r>
      <w:r>
        <w:rPr>
          <w:rFonts w:eastAsia="Times New Roman" w:cs="Times New Roman" w:ascii="Times New Roman" w:hAnsi="Times New Roman"/>
          <w:b w:val="false"/>
          <w:bCs w:val="false"/>
          <w:i w:val="false"/>
          <w:iCs w:val="false"/>
          <w:sz w:val="28"/>
          <w:szCs w:val="28"/>
        </w:rPr>
        <w:t>.</w:t>
      </w:r>
    </w:p>
    <w:p>
      <w:pPr>
        <w:pStyle w:val="Normal"/>
        <w:spacing w:before="0" w:after="200"/>
        <w:ind w:firstLine="720" w:lef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представления в орган регистрации прав заявлений о государственной регистрации прав на основании свидетельства о праве на наследство в отношении зданий, сооружений, объектов незавершенного строительства, расположенных на земельных участках, сведения о местоположении границ которых в ЕГРН отсутствуют, осуществление государственной регистрации подлежит приостановлению.</w:t>
      </w:r>
    </w:p>
    <w:p>
      <w:pPr>
        <w:pStyle w:val="Normal"/>
        <w:spacing w:before="0" w:after="200"/>
        <w:ind w:firstLine="720" w:left="0"/>
        <w:jc w:val="both"/>
        <w:rPr>
          <w:rFonts w:ascii="Times New Roman" w:hAnsi="Times New Roman" w:eastAsia="Times New Roman" w:cs="Times New Roman"/>
          <w:b/>
          <w:bCs/>
          <w:i/>
          <w:i/>
          <w:sz w:val="28"/>
          <w:szCs w:val="28"/>
        </w:rPr>
      </w:pPr>
      <w:r>
        <w:rPr>
          <w:rFonts w:eastAsia="Times New Roman" w:cs="Times New Roman" w:ascii="Times New Roman" w:hAnsi="Times New Roman"/>
          <w:b/>
          <w:bCs/>
          <w:i/>
          <w:iCs/>
          <w:sz w:val="28"/>
          <w:szCs w:val="28"/>
        </w:rPr>
        <w:t xml:space="preserve">4. </w:t>
      </w:r>
      <w:r>
        <w:rPr>
          <w:rFonts w:eastAsia="Times New Roman" w:cs="Times New Roman" w:ascii="Times New Roman" w:hAnsi="Times New Roman"/>
          <w:b/>
          <w:bCs/>
          <w:i/>
          <w:iCs/>
          <w:sz w:val="28"/>
          <w:szCs w:val="28"/>
          <w:lang w:eastAsia="en-US"/>
        </w:rPr>
        <w:t>Каковы темпы выполнения комплексных кадастровых работ на территории Алтайского края?</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14:ligatures w14:val="none"/>
        </w:rPr>
        <w:t xml:space="preserve">В период с 2022 по 2024 год проведены комплексные кадастровые работы в границах 290 кварталов (49154 объектов) за счет регионального </w:t>
        <w:br/>
        <w:t xml:space="preserve">и местного бюджетов на сумму </w:t>
      </w:r>
      <w:r>
        <w:rPr>
          <w:rFonts w:eastAsia="Times New Roman" w:cs="Times New Roman" w:ascii="Times New Roman" w:hAnsi="Times New Roman"/>
          <w:sz w:val="28"/>
          <w:szCs w:val="28"/>
          <w:highlight w:val="white"/>
          <w14:ligatures w14:val="none"/>
        </w:rPr>
        <w:t>21721,56 тыс. руб.</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bCs/>
          <w:sz w:val="28"/>
          <w:szCs w:val="28"/>
          <w:lang w:eastAsia="zh-CN"/>
        </w:rPr>
        <w:t xml:space="preserve">На территории Алтайского края в 2025 году выполняются комплексные кадастровые работы за счет средств регионального бюджета в границах </w:t>
        <w:br/>
        <w:t xml:space="preserve">29 кадастровых кварталов, расположенных на территориях 7 муниципальных </w:t>
      </w:r>
      <w:r>
        <w:rPr>
          <w:rFonts w:eastAsia="Times New Roman" w:cs="Times New Roman" w:ascii="Times New Roman" w:hAnsi="Times New Roman"/>
          <w:sz w:val="28"/>
          <w:szCs w:val="28"/>
          <w:lang w:eastAsia="zh-CN"/>
        </w:rPr>
        <w:t xml:space="preserve">образований: Быстроистокского (село Быстрый Исток), Локтевского </w:t>
        <w:br/>
        <w:t>(г. Горняк), Ключевского (с. Ключи), Третьяковского (п. Садовый), Егорьевского (с.Сросты), Мамонтовского (с. Украинка, с. Малые Бутырки) районов и г. Рубцовск.</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lang w:eastAsia="zh-CN"/>
        </w:rPr>
        <w:t>Заказчиками комплексных кадастровых работ выступают Алтайкрайимущество и органы местного самоуправления Алтайского края.</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lang w:eastAsia="zh-CN"/>
        </w:rPr>
        <w:t xml:space="preserve">По информации Алтайкрайимущества, в 2025 году общий объем финансирования, предусмотренный для выполнения комплексных </w:t>
      </w:r>
      <w:r>
        <w:rPr>
          <w:rFonts w:eastAsia="Times New Roman" w:cs="Times New Roman" w:ascii="Times New Roman" w:hAnsi="Times New Roman"/>
          <w:bCs/>
          <w:sz w:val="28"/>
          <w:szCs w:val="28"/>
          <w:lang w:eastAsia="zh-CN"/>
        </w:rPr>
        <w:t>кадастровых работ на территории Алтайского края, составляет 9709,10 тыс.руб.</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bCs/>
          <w:sz w:val="28"/>
          <w:szCs w:val="28"/>
          <w:lang w:eastAsia="zh-CN"/>
        </w:rPr>
        <w:t xml:space="preserve">По состоянию на 01.06.2025 законтрактовано средств на выполнение данных работ в размере 7333,93 тыс. руб. Количество объектов недвижимости, включенных в контракты на выполнение комплексных кадастровых работ - 12006. </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rPr>
        <w:t xml:space="preserve">В текущем году </w:t>
      </w:r>
      <w:r>
        <w:rPr>
          <w:rFonts w:eastAsia="Times New Roman" w:cs="Times New Roman" w:ascii="Times New Roman" w:hAnsi="Times New Roman"/>
          <w:sz w:val="28"/>
          <w:szCs w:val="28"/>
          <w:lang w:eastAsia="zh-CN"/>
        </w:rPr>
        <w:t>комплексные кадастровые работы</w:t>
      </w:r>
      <w:r>
        <w:rPr>
          <w:rFonts w:eastAsia="Times New Roman" w:cs="Times New Roman" w:ascii="Times New Roman" w:hAnsi="Times New Roman"/>
          <w:sz w:val="28"/>
          <w:szCs w:val="28"/>
        </w:rPr>
        <w:t xml:space="preserve"> федерального значения проводятся в 87 субъектах Российской Федерации на основании </w:t>
        <w:br/>
        <w:t>Соглашения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заключенного между Росреестром и публично-правовой компанией «Роскадастр».</w:t>
      </w:r>
    </w:p>
    <w:p>
      <w:pPr>
        <w:pStyle w:val="Normal"/>
        <w:ind w:firstLine="709"/>
        <w:jc w:val="both"/>
        <w:rPr>
          <w:rFonts w:ascii="Times New Roman" w:hAnsi="Times New Roman" w:cs="Times New Roman"/>
          <w:sz w:val="28"/>
          <w:szCs w:val="28"/>
          <w14:ligatures w14:val="none"/>
        </w:rPr>
      </w:pPr>
      <w:r>
        <w:rPr>
          <w:rFonts w:eastAsia="Times New Roman" w:cs="Times New Roman" w:ascii="Times New Roman" w:hAnsi="Times New Roman"/>
          <w:sz w:val="28"/>
          <w:szCs w:val="28"/>
        </w:rPr>
        <w:t>Исполнителем комплексных кадастровых работ федерального значения является публично-правовая компания «Роскадастр», на территории края – филиал ППК «Роскадастр» по Алтайскому краю.</w:t>
      </w:r>
    </w:p>
    <w:p>
      <w:pPr>
        <w:pStyle w:val="Normal"/>
        <w:ind w:firstLine="709"/>
        <w:jc w:val="both"/>
        <w:rPr>
          <w:rFonts w:ascii="Times New Roman" w:hAnsi="Times New Roman" w:eastAsia="Times New Roman" w:cs="Times New Roman"/>
          <w:sz w:val="28"/>
          <w:szCs w:val="28"/>
          <w:highlight w:val="white"/>
          <w:lang w:eastAsia="zh-CN"/>
          <w14:ligatures w14:val="none"/>
        </w:rPr>
      </w:pPr>
      <w:r>
        <w:rPr>
          <w:rFonts w:eastAsia="Times New Roman" w:cs="Times New Roman" w:ascii="Times New Roman" w:hAnsi="Times New Roman"/>
          <w:sz w:val="28"/>
          <w:szCs w:val="28"/>
          <w:highlight w:val="white"/>
          <w:lang w:eastAsia="zh-CN"/>
        </w:rPr>
        <w:t xml:space="preserve">В Алтайском крае кадастровые работы за счет средств федерального бюджета выполняются на территории Мамонтовского, Михайловского, Ребрихинского, Троицкого, </w:t>
      </w:r>
      <w:r>
        <w:rPr>
          <w:rFonts w:eastAsia="Times New Roman" w:cs="Times New Roman" w:ascii="Times New Roman" w:hAnsi="Times New Roman"/>
          <w:color w:val="auto"/>
          <w:sz w:val="28"/>
          <w:szCs w:val="28"/>
          <w:highlight w:val="white"/>
        </w:rPr>
        <w:t>Тогульского,</w:t>
      </w:r>
      <w:r>
        <w:rPr>
          <w:rFonts w:eastAsia="Times New Roman" w:cs="Times New Roman" w:ascii="Times New Roman" w:hAnsi="Times New Roman"/>
          <w:sz w:val="28"/>
          <w:szCs w:val="28"/>
          <w:highlight w:val="white"/>
          <w:lang w:eastAsia="zh-CN"/>
        </w:rPr>
        <w:t xml:space="preserve"> Усть-Пристанского, Тальменского, Третьяковского, Ельцовского, Кытмановского, Тогульского, Топчихинского, Усть-Калманского, Шелаболихинского, Шипуновского районов, г. Заринска в границах 333 кадастровых кварталов. </w:t>
      </w:r>
    </w:p>
    <w:p>
      <w:pPr>
        <w:pStyle w:val="Normal"/>
        <w:ind w:firstLine="709"/>
        <w:jc w:val="both"/>
        <w:rPr>
          <w:rFonts w:ascii="Times New Roman" w:hAnsi="Times New Roman" w:cs="Times New Roman"/>
          <w:sz w:val="28"/>
          <w:szCs w:val="28"/>
          <w:highlight w:val="none"/>
          <w14:ligatures w14:val="none"/>
        </w:rPr>
      </w:pPr>
      <w:r>
        <w:rPr>
          <w:rFonts w:eastAsia="Times New Roman" w:cs="Times New Roman" w:ascii="Times New Roman" w:hAnsi="Times New Roman"/>
          <w:sz w:val="28"/>
          <w:szCs w:val="28"/>
          <w14:ligatures w14:val="none"/>
        </w:rPr>
        <w:t xml:space="preserve">В 2026 году на территории </w:t>
      </w:r>
      <w:r>
        <w:rPr>
          <w:rFonts w:eastAsia="Times New Roman" w:cs="Times New Roman" w:ascii="Times New Roman" w:hAnsi="Times New Roman"/>
          <w:sz w:val="28"/>
          <w:szCs w:val="28"/>
          <w:highlight w:val="white"/>
          <w:lang w:eastAsia="zh-CN"/>
        </w:rPr>
        <w:t>Алтайского кра</w:t>
      </w:r>
      <w:r>
        <w:rPr>
          <w:rFonts w:eastAsia="Times New Roman" w:cs="Times New Roman" w:ascii="Times New Roman" w:hAnsi="Times New Roman"/>
          <w:sz w:val="28"/>
          <w:szCs w:val="28"/>
          <w14:ligatures w14:val="none"/>
        </w:rPr>
        <w:t xml:space="preserve">я планируется проведение </w:t>
      </w:r>
      <w:r>
        <w:rPr>
          <w:rFonts w:eastAsia="Times New Roman" w:cs="Times New Roman" w:ascii="Times New Roman" w:hAnsi="Times New Roman"/>
          <w:sz w:val="28"/>
          <w:szCs w:val="28"/>
        </w:rPr>
        <w:t xml:space="preserve">комплексных кадастровых работ федерального значения </w:t>
      </w:r>
      <w:r>
        <w:rPr>
          <w:rFonts w:eastAsia="Times New Roman" w:cs="Times New Roman" w:ascii="Times New Roman" w:hAnsi="Times New Roman"/>
          <w:sz w:val="28"/>
          <w:szCs w:val="28"/>
          <w:highlight w:val="white"/>
          <w:lang w:eastAsia="zh-CN"/>
        </w:rPr>
        <w:t>территории</w:t>
      </w:r>
      <w:r>
        <w:rPr>
          <w:rFonts w:eastAsia="Times New Roman" w:cs="Times New Roman" w:ascii="Times New Roman" w:hAnsi="Times New Roman"/>
          <w:color w:val="auto"/>
          <w:sz w:val="28"/>
          <w:szCs w:val="28"/>
          <w:lang w:eastAsia="zh-CN"/>
        </w:rPr>
        <w:t xml:space="preserve"> </w:t>
      </w:r>
      <w:r>
        <w:rPr>
          <w:rFonts w:eastAsia="Times New Roman" w:cs="Times New Roman" w:ascii="Times New Roman" w:hAnsi="Times New Roman"/>
          <w:color w:val="auto"/>
          <w:sz w:val="28"/>
          <w:szCs w:val="28"/>
          <w:highlight w:val="white"/>
          <w:lang w:eastAsia="zh-CN"/>
        </w:rPr>
        <w:t xml:space="preserve">Баевского, Бурлинского, Волчихинского, Егорьевского, Калманского, Ключевского, Немецкого национального, Павловского, Панкрушихинского, Петропавловского, Поспелихинского, Ребрихинского, Смоленского, Табунского, Тюменцевского, Хабарского </w:t>
      </w:r>
      <w:r>
        <w:rPr>
          <w:rFonts w:eastAsia="Times New Roman" w:cs="Times New Roman" w:ascii="Times New Roman" w:hAnsi="Times New Roman"/>
          <w:sz w:val="28"/>
          <w:szCs w:val="28"/>
          <w:highlight w:val="white"/>
          <w:lang w:eastAsia="zh-CN"/>
        </w:rPr>
        <w:t xml:space="preserve">районов, </w:t>
      </w:r>
      <w:r>
        <w:rPr>
          <w:rFonts w:eastAsia="Times New Roman" w:cs="Times New Roman" w:ascii="Times New Roman" w:hAnsi="Times New Roman"/>
          <w:color w:val="auto"/>
          <w:sz w:val="28"/>
          <w:szCs w:val="28"/>
          <w:highlight w:val="white"/>
          <w:lang w:eastAsia="zh-CN"/>
        </w:rPr>
        <w:t xml:space="preserve">г. Барнаула </w:t>
      </w:r>
      <w:r>
        <w:rPr>
          <w:rFonts w:eastAsia="Times New Roman" w:cs="Times New Roman" w:ascii="Times New Roman" w:hAnsi="Times New Roman"/>
          <w:sz w:val="28"/>
          <w:szCs w:val="28"/>
          <w:highlight w:val="white"/>
          <w:lang w:eastAsia="zh-CN"/>
        </w:rPr>
        <w:t>в границах 766 кадастровых кварталов</w:t>
      </w:r>
      <w:r>
        <w:rPr>
          <w:rFonts w:eastAsia="Times New Roman" w:cs="Times New Roman" w:ascii="Times New Roman" w:hAnsi="Times New Roman"/>
          <w:sz w:val="28"/>
          <w:szCs w:val="28"/>
          <w14:ligatures w14:val="none"/>
        </w:rPr>
        <w:t>.</w:t>
      </w:r>
    </w:p>
    <w:p>
      <w:pPr>
        <w:pStyle w:val="Normal"/>
        <w:ind w:firstLine="709"/>
        <w:jc w:val="both"/>
        <w:rPr>
          <w:rFonts w:ascii="Times New Roman" w:hAnsi="Times New Roman" w:eastAsia="Times New Roman" w:cs="Times New Roman"/>
          <w:b/>
          <w:bCs/>
          <w:i/>
          <w:i/>
          <w:sz w:val="28"/>
          <w:szCs w:val="28"/>
          <w:lang w:eastAsia="ru-RU"/>
          <w14:ligatures w14:val="none"/>
        </w:rPr>
      </w:pPr>
      <w:r>
        <w:rPr>
          <w:rFonts w:cs="Times New Roman" w:ascii="Times New Roman" w:hAnsi="Times New Roman"/>
          <w:b/>
          <w:bCs/>
          <w:i/>
          <w:iCs/>
          <w:sz w:val="28"/>
          <w:szCs w:val="28"/>
          <w14:ligatures w14:val="none"/>
        </w:rPr>
        <w:t xml:space="preserve">5. </w:t>
      </w:r>
      <w:r>
        <w:rPr>
          <w:rFonts w:eastAsia="Times New Roman" w:cs="Times New Roman" w:ascii="Times New Roman" w:hAnsi="Times New Roman"/>
          <w:b/>
          <w:bCs/>
          <w:i/>
          <w:iCs/>
          <w:sz w:val="28"/>
          <w:szCs w:val="28"/>
          <w:lang w:eastAsia="ru-RU"/>
        </w:rPr>
        <w:t>Выявление неиспользуемых и неэффективно используемых земель на территории Алтайского края в 2024 - 2025 годах</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 xml:space="preserve">Неиспользование земель в Российской Федерации представляет собой актуальную проблему, отражающую неэффективное управление земельными ресурсами. По статистике, в Российской Федерации порядка тридцати процентов предоставленных земель не используются, либо используются </w:t>
        <w:br/>
        <w:t xml:space="preserve">не по целевому назначению. </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В последнее время Правительством Российской Федерации предпринят ряд мер по совершенствованию нормативного правового регулирования в части стимулирования правообладателей</w:t>
      </w:r>
      <w:r>
        <w:rPr>
          <w:rFonts w:eastAsia="Times New Roman" w:cs="Times New Roman" w:ascii="Times New Roman" w:hAnsi="Times New Roman"/>
          <w:sz w:val="28"/>
          <w:szCs w:val="28"/>
        </w:rPr>
        <w:t xml:space="preserve"> начать использовать свои земельные участки — осваивать или продавать их, если они им не нужны</w:t>
      </w:r>
      <w:r>
        <w:rPr>
          <w:rFonts w:eastAsia="Times New Roman" w:cs="Times New Roman" w:ascii="Times New Roman" w:hAnsi="Times New Roman"/>
          <w:sz w:val="28"/>
          <w:szCs w:val="28"/>
        </w:rPr>
        <w:t>.</w:t>
      </w:r>
    </w:p>
    <w:p>
      <w:pPr>
        <w:pStyle w:val="Normal"/>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 xml:space="preserve">С </w:t>
      </w:r>
      <w:r>
        <w:rPr>
          <w:rFonts w:eastAsia="Times New Roman" w:cs="Times New Roman" w:ascii="Times New Roman" w:hAnsi="Times New Roman"/>
          <w:sz w:val="28"/>
          <w:szCs w:val="28"/>
        </w:rPr>
        <w:t>1 марта 2025 года вступила в силу новая норма Земельного кодекса – статья 85.1 «Освоение земельных участков из состава земель населенных пунктов и их использование»</w:t>
      </w:r>
      <w:r>
        <w:rPr>
          <w:rFonts w:eastAsia="Times New Roman" w:cs="Times New Roman" w:ascii="Times New Roman" w:hAnsi="Times New Roman"/>
          <w:sz w:val="28"/>
          <w:szCs w:val="28"/>
        </w:rPr>
        <w:t xml:space="preserve"> (введена Федеральным законом от 08.08.2024 № 307-ФЗ), которой определяется трехлетний срок для освоения земельных участков, расположенных </w:t>
        <w:br/>
        <w:t xml:space="preserve">в границах населенных пунктов, садовых и огородных земельных участков.  </w:t>
      </w:r>
    </w:p>
    <w:p>
      <w:pPr>
        <w:pStyle w:val="Normal"/>
        <w:ind w:firstLine="709"/>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В новой статье раскрывается понятие освоения – </w:t>
      </w:r>
      <w:r>
        <w:rPr>
          <w:rFonts w:cs="Times New Roman" w:ascii="Times New Roman" w:hAnsi="Times New Roman"/>
          <w:sz w:val="28"/>
          <w:szCs w:val="28"/>
        </w:rPr>
        <w:t xml:space="preserve">это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r>
        <w:rPr>
          <w:rFonts w:cs="Times New Roman" w:ascii="Times New Roman" w:hAnsi="Times New Roman"/>
          <w:sz w:val="28"/>
          <w:szCs w:val="28"/>
        </w:rPr>
        <w:t xml:space="preserve">Устанавливается срок такого освоения - 3 года, которые исчисляются с момента регистрации права на приобретаемые участки, и с 1 марта 2025 для уже зарегистрированных в Росреестре участков. </w:t>
      </w:r>
    </w:p>
    <w:p>
      <w:pPr>
        <w:pStyle w:val="Normal"/>
        <w:ind w:firstLine="709"/>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Перечень таких мероприятий утвержден распоряжением  Правительства РФ от 24.04.2025 № 1021-р. К </w:t>
      </w:r>
      <w:r>
        <w:rPr>
          <w:rFonts w:cs="Times New Roman" w:ascii="Times New Roman" w:hAnsi="Times New Roman"/>
          <w:sz w:val="28"/>
          <w:szCs w:val="28"/>
        </w:rPr>
        <w:t>мероприятиям по освоению земельных участков относится, например, освобождение от сорной и иной расти</w:t>
      </w:r>
      <w:r>
        <w:rPr>
          <w:rFonts w:cs="Times New Roman" w:ascii="Times New Roman" w:hAnsi="Times New Roman"/>
          <w:sz w:val="28"/>
          <w:szCs w:val="28"/>
        </w:rPr>
        <w:t>тельности, отходов, предметов, которые мешают целевому использованию земельных участков.</w:t>
      </w:r>
    </w:p>
    <w:p>
      <w:pPr>
        <w:pStyle w:val="Normal"/>
        <w:ind w:firstLine="709"/>
        <w:jc w:val="both"/>
        <w:rPr>
          <w:rFonts w:ascii="Times New Roman" w:hAnsi="Times New Roman" w:cs="Times New Roman"/>
          <w:sz w:val="28"/>
          <w:szCs w:val="28"/>
          <w14:ligatures w14:val="none"/>
        </w:rPr>
      </w:pPr>
      <w:r>
        <w:rPr>
          <w:rFonts w:cs="Times New Roman" w:ascii="Times New Roman" w:hAnsi="Times New Roman"/>
          <w:sz w:val="28"/>
          <w:szCs w:val="28"/>
        </w:rPr>
        <w:t>К тому же, Постановлением Правительства Российской Федерации от 31 мая 2025 г. № 826 утверждены признаки неиспользования</w:t>
      </w:r>
      <w:r>
        <w:rPr/>
        <w:t xml:space="preserve"> </w:t>
      </w:r>
      <w:r>
        <w:rPr>
          <w:rFonts w:cs="Times New Roman" w:ascii="Times New Roman" w:hAnsi="Times New Roman"/>
          <w:sz w:val="28"/>
          <w:szCs w:val="28"/>
        </w:rPr>
        <w:t>земельных участков.</w:t>
      </w:r>
    </w:p>
    <w:p>
      <w:pPr>
        <w:pStyle w:val="Normal"/>
        <w:ind w:firstLine="709"/>
        <w:jc w:val="both"/>
        <w:rPr>
          <w:rFonts w:ascii="Times New Roman" w:hAnsi="Times New Roman" w:cs="Times New Roman"/>
          <w:b/>
          <w:bCs/>
          <w:i/>
          <w:i/>
          <w:sz w:val="28"/>
          <w:szCs w:val="28"/>
          <w:highlight w:val="none"/>
          <w14:ligatures w14:val="none"/>
        </w:rPr>
      </w:pPr>
      <w:r>
        <w:rPr>
          <w:rFonts w:cs="Times New Roman" w:ascii="Times New Roman" w:hAnsi="Times New Roman"/>
          <w:b/>
          <w:bCs/>
          <w:sz w:val="28"/>
          <w:szCs w:val="28"/>
        </w:rPr>
        <w:t>К таким признакам относятся:</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отсутствие на земельном участке в течение пяти и более лет здания, строения, сооружения, для строительства которых предназначен земельный участок, и в отношении которых в соответствии с законом осуществлена государственная регистрация прав на такие здание, строение, сооружение;</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разрушение крыши, стен, фундамента, отсутствие окон или стекол </w:t>
        <w:br/>
        <w:t>на окнах;</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разрушение или повреждение части садового дома; </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захламление более чем 50% площади земельного участка предметами, ‎</w:t>
        <w:br/>
        <w:t>не связанными с его разрешенным использованием и целевым назначением;</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загрязнение более чем 50% площади земельного участка отходами производства и потребления, в том числе твердыми коммунальными отходами;</w:t>
      </w:r>
    </w:p>
    <w:p>
      <w:pPr>
        <w:pStyle w:val="ListParagraph"/>
        <w:numPr>
          <w:ilvl w:val="0"/>
          <w:numId w:val="2"/>
        </w:numPr>
        <w:pBdr/>
        <w:spacing w:lineRule="auto" w:line="276" w:before="0" w:after="0"/>
        <w:contextualSpacing/>
        <w:jc w:val="both"/>
        <w:rPr>
          <w:rFonts w:ascii="Times New Roman" w:hAnsi="Times New Roman" w:cs="Times New Roman"/>
          <w:sz w:val="28"/>
          <w:szCs w:val="28"/>
          <w:highlight w:val="none"/>
          <w14:ligatures w14:val="none"/>
        </w:rPr>
      </w:pPr>
      <w:r>
        <w:rPr>
          <w:rFonts w:cs="Times New Roman" w:ascii="Times New Roman" w:hAnsi="Times New Roman"/>
          <w:sz w:val="28"/>
          <w:szCs w:val="28"/>
        </w:rPr>
        <w:t xml:space="preserve">наличие на более чем 50% площади земельного участка сорных растений высотой более одного метра и (или) деревьев, кустарников </w:t>
        <w:br/>
        <w:t>‎(за исключением деревьев и иных насаждений, являющихся элементами благоустройства и озеленения территории земельного участка).</w:t>
      </w:r>
    </w:p>
    <w:p>
      <w:pPr>
        <w:pStyle w:val="Normal"/>
        <w:spacing w:lineRule="auto" w:line="276" w:before="0" w:after="0"/>
        <w:ind w:firstLine="709"/>
        <w:jc w:val="both"/>
        <w:rPr/>
      </w:pPr>
      <w:r>
        <w:rPr>
          <w:rFonts w:cs="Times New Roman" w:ascii="Times New Roman" w:hAnsi="Times New Roman"/>
          <w:sz w:val="28"/>
          <w:szCs w:val="28"/>
        </w:rPr>
        <w:t xml:space="preserve">Постановление вступает в силу с 1 сентября 2025 г. и действует </w:t>
        <w:br/>
        <w:t>до 1 сентября 2031 г. Установленные признаки неиспользования земельных участков будут подлежать применению органами, осуществляющими федеральный государственный земельный контроль (надзор),</w:t>
      </w:r>
      <w:r>
        <w:rPr>
          <w:rFonts w:cs="Times New Roman" w:ascii="Times New Roman" w:hAnsi="Times New Roman"/>
          <w:sz w:val="28"/>
          <w:szCs w:val="28"/>
        </w:rPr>
        <w:t xml:space="preserve"> по истечении срока, отведенного на освоение.</w:t>
      </w:r>
    </w:p>
    <w:p>
      <w:pPr>
        <w:pStyle w:val="Normal"/>
        <w:spacing w:lineRule="auto" w:line="276" w:before="0" w:after="0"/>
        <w:ind w:firstLine="709"/>
        <w:jc w:val="both"/>
        <w:rPr>
          <w:rFonts w:ascii="Times New Roman" w:hAnsi="Times New Roman" w:cs="Times New Roman"/>
          <w:sz w:val="28"/>
          <w:szCs w:val="28"/>
          <w:highlight w:val="none"/>
        </w:rPr>
      </w:pPr>
      <w:r>
        <w:rPr>
          <w:rFonts w:cs="Times New Roman" w:ascii="Times New Roman" w:hAnsi="Times New Roman"/>
          <w:sz w:val="28"/>
          <w:szCs w:val="28"/>
        </w:rPr>
        <w:t>Признаки не будут применяться в случаях, когда на участок наложен арест или он не мог быть использован по целевому назначению из-за стихийных бедствий или иных обстоятельств, исключающих использование.</w:t>
      </w:r>
    </w:p>
    <w:p>
      <w:pPr>
        <w:pStyle w:val="Normal"/>
        <w:spacing w:lineRule="auto" w:line="276"/>
        <w:ind w:firstLine="709"/>
        <w:jc w:val="both"/>
        <w:rPr>
          <w:rFonts w:ascii="Times New Roman" w:hAnsi="Times New Roman" w:cs="Times New Roman"/>
          <w:b w:val="false"/>
          <w:bCs w:val="false"/>
          <w:i w:val="false"/>
          <w:i w:val="false"/>
          <w:sz w:val="28"/>
          <w:szCs w:val="28"/>
          <w:highlight w:val="none"/>
          <w14:ligatures w14:val="none"/>
        </w:rPr>
      </w:pPr>
      <w:r>
        <w:rPr>
          <w:rFonts w:cs="Times New Roman" w:ascii="Times New Roman" w:hAnsi="Times New Roman"/>
          <w:sz w:val="28"/>
          <w:szCs w:val="28"/>
        </w:rPr>
        <w:t>За 2024-2025 годы доля нарушений, выявленных инспекторами государственного земельного надзора Управления Росреестра по Алтайскому краю, связанных с неиспользованием земельных участков, предназначенных для жилищного или иного строительства, садоводства, огородничества составила 49% от общ</w:t>
      </w:r>
      <w:r>
        <w:rPr>
          <w:rFonts w:cs="Times New Roman" w:ascii="Times New Roman" w:hAnsi="Times New Roman"/>
          <w:sz w:val="28"/>
          <w:szCs w:val="28"/>
        </w:rPr>
        <w:t>его числа выявленных нарушений.</w:t>
      </w:r>
    </w:p>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2">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paragraph" w:styleId="Style7">
    <w:name w:val="Заголовок"/>
    <w:basedOn w:val="Normal"/>
    <w:next w:val="BodyText"/>
    <w:qFormat/>
    <w:pPr>
      <w:keepNext w:val="true"/>
      <w:spacing w:before="240" w:after="120"/>
    </w:pPr>
    <w:rPr>
      <w:rFonts w:ascii="PT Astra Serif" w:hAnsi="PT Astra Serif"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Mangal"/>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8">
    <w:name w:val="Указатель"/>
    <w:basedOn w:val="Normal"/>
    <w:qFormat/>
    <w:pPr>
      <w:suppressLineNumbers/>
    </w:pPr>
    <w:rPr>
      <w:rFonts w:ascii="PT Astra Serif" w:hAnsi="PT Astra Serif" w:cs="Mangal"/>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9">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7"/>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6</Pages>
  <Words>1596</Words>
  <Characters>11558</Characters>
  <CharactersWithSpaces>13121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2025-07-02T09:10:32Z</dcterms:modified>
  <cp:revision>2</cp:revision>
  <dc:subject/>
  <dc:title/>
</cp:coreProperties>
</file>